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30.12.2019, оставленным без изменения постановлением Девятого арбитражного апелляционного суда от 02.07.2020, в удовлетворении иска отказано. Арбитражный суд Московского округа постановлением от 23.09.2020 решение от 30.12.2019 и постановление Девятого арбитражного апелляционного суда от 02.07.2020 оставил без изменения. В кассационной жалобе банк просит об отмене судебных актов вследствие несоответствия выводов судов фактическим обстоятельствам дела и представленным доказательствам.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требуемые банком убытки составляют долги третьего лица по кредитному договору, взысканы в самостоятельном судебном порядке и не отвечают необходимым в силу статей 15 , 393 Гражданского кодекса Российской Федерации условиям для переложения их на ответчика в связи с исполнением договора от 13.09.2017 № IMC/Т3296 на оказание услуг. Переоценка выводов судов в отношении обстоятельств правоотношений сторон, требуемая в жалобе,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«Альфа-Банк»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"Альфа-Банк" (подробнее) Ответчики: ООО "Ай Эм Си Монтан"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