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30.01.2020, оставленным без изменения постановлением Пятого арбитражного апелляционного суда от 02.06.2020 и постановлением Арбитражного суда Дальневосточного округа от 22.09.2020, первоначальный иск удовлетворен частично, в удовлетворении встречного иска отказано. В кассационной жалобе общество просит об отмене судебных актов, ссылаясь на принятие ненадлежащих доказательств исполнения договора и согласования дополнительного соглашения к нему.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силу договора от 01.02.2019 № 59 электронный документооборот приравнен к бумажному и использован через согласованные адреса сторонами в вопросах исполнения договора и согласования дополнительного соглашения к нему. Суды признали документальную подтвержденность в согласованной форме оказания предпринимателем услуг на требуемую сумму, поэтому удовлетворили иск в соответствии со статьями 330 , 779 , 781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«Строитель»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Максимов Геннадий Андреевич (подробнее) Ответчики: ОАО " Строитель" (подробнее) Иные лица: ИФНС по Первомайскому району г.Владивостока (подробнее) ПАО "ВымпелКом" (подробнее) ПАО "Сбербанк" дополнительный офис №8635/0174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