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26.03.2020, оставленным без изменения постановлением Девятого арбитражного апелляционного суда от 23.07.2020 и постановлением Арбитражного суда Московского округа от 30.10.2020, исковые требования удовлетворены. В кассационной жалобе общество «Торговый дом «Стройтех-345МЗ» просит о пересмотре судебных актов, ссылаясь на подтвержденное совокупностью доказательств перечисление истцом денежных средств за третье лицо и неправильное исчисление процентов.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исходя из исследованных доказательств не установили причастности истца к правоотношениям по поставке между ответчиком и третьим лицом, поэтому обязали возвратить полученные денежные средства в соответствии со статьей 1102 Гражданского кодекса Российской Федерации. В силу статьи 395 Гражданского кодекса Российской Федерации проценты взыскиваются за весь период пользования денежными средствами.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«Стройтех-345МЗ»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