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Черепанов Пётр Юрьевич обратился в суд с заявлением о разрешении разногласий, возникших с залоговым кредитором относительно Положения о порядке и условиях обеспечения сохранности залогового имущества должника (далее – положение о сохранности). Определением Арбитражного суда Ростовской области от 23.03.2020, оставленным без изменения постановлениями Пятнадцатого арбитражного апелляционного суда от 26.06.2020 и Арбитражного суда Северо-Кавказского округа от 29.09.2020, разногласия разрешены в пользу конкурсного управляющего; положение о сохранности признано не подлежащим исполнению.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 первой инстанции, руководствуясь статьями 20.3, 18.1, 129, 138 Федерального закона от 26.10.2002 № 127-ФЗ «О несостоятельности (банкротстве)», исходил из того, что положение о сохранности подразумевает передачу залоговому кредитору полномочий собственника имущества должника, которым тот не является и являться не может в силу закона, в связи с чем признал его не подлежащим исполнению. С указанными выводами впоследствии согласились суды апелляционной инстанции и округа, отметив, что управление имуществом должника уже осуществляется на основании заключенного в процедуре конкурсного производства и не прекратившего своё действие договора.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«Инвестиции Управление Активами»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