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13.12.2019, оставленным без изменения постановлением Тринадцатого арбитражного апелляционного суда от 27.05.2020 и постановлением Арбитражного суда Северо-Западного округа от 21.09.2020, 2 ответчик в связи с реорганизацией в форме присоединения заменен на правопреемника – партнерство. В кассационной жалобе партнерство просит об отмене судебных актов, ссылаясь на отсутствие универсального правопреемства от ответчика и невозможность несения ответственности за пределами существовавших у ответчика обязательств.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Заявленные партнерством доводы касаются обстоятельств, выходящих за пределы подлежащих установлению при рассмотрении заявления о процессуальном правопреемстве, на что правильно указал окружной суд.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некоммерческому партнерству «Объединение специализированных организаций по пожарной безопасности зданий и сооружений»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