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24.01.2020, оставленным без изменения постановлением Первого арбитражного апелляционного суда от 28.05.2020 и постановлением Арбитражного суда Волго-Вятского округа от 25.09.2020, иск удовлетворен. В кассационной жалобе завод просит об отмене судебных актов вследствие отсутствия условий для взыскания убытков.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Порядок определения расходов, подлежащих взысканию с поставщика (завода) в связи с недопоставкой автокомпонентов, согласован сторонами в договоре от 20.09.2017 № 901022, в соответствии с которым произведен расчет взыскиваемой суммы. Учитывая определение расходов расчетным путем, их размер не подлежал доказыванию в имевшем место случае недопоставки. Реализация истцом права на применение договорной ответственности не может быть отнесена к недобросовестным действиям.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«Завод Автокомпонент»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"Автоваз" (подробнее) Ответчики: ООО "Завод Автокомпонент"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