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21.01.2020, оставленным без изменения постановлением Девятого арбитражного апелляционного суда от 18.06.2020 и постановлением Арбитражного суда Московского округа от 22.09.2020, иск удовлетворен. В кассационной жалобе общество «Эксплорус» просит об отмене судебных актов, ссылаясь на наличие основания для оставления иска баз рассмотрения, отсутствие неосновательного обогащения и поступление истцу присужденных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Исполнение судебного акта о присуждении истцу денежных средств не влияет на судьбу рассматриваемого иска, поскольку суды установили, что судебный акт о присуждении отменен и вынесено определение о повороте его исполнения, невозможность которого стала основанием для обращения взыскателя с заявлением о признании истца банкротом. Суды установили ненаступление условия, являвшегося основанием для получения спорной денежной суммы, поэтому обязали ее возвратить в соответствии со статьей 1102 Гражданского кодекса Российской Федерации. Вопросы досудебного порядка урегулирования спора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«Эксплорус»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"Планета Термоформинг" (подробнее) Ответчики: ООО "ЭКСПЛОРУС" (подробнее) Судьи дела: Ксенофонтова Н.А. (судья)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