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03.02.2020, оставленным без изменения постановлением Первого арбитражного апелляционного суда от 28.05.2020 и постановлением Арбитражного суда Волго-Вятского округа от 25.09.2020, иск удовлетворен. В кассационной жалобе завод просит об отмене судебных актов, ссылаясь на отсутствие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Порядок определения расходов, подлежащих взысканию с поставщика (завода) в связи с недопоставкой автокомпонентов, согласован сторонами в договоре от 20.09.2017 № 901022, в соответствии с которым произведен расчет взыскиваемой суммы. Учитывая определение расходов расчетным путем, их размер не подлежал доказыванию в имевшем место случае недопоставки. Реализация истцом права на применение договорной ответственности не может быть отнесена к недобросовестным действиям.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Автокомпонент»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"Автоваз" (подробнее) Ответчики: ООО "Завод Автокомпонент" (подробнее) Иные лица: Арбитражному суду Самарской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