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Андреев С.В. обратился в суд с заявлением о включении в реестр требований кредиторов должника его требования в размере 117 059 178 рублей, как обеспеченного залогом имущества должника. Определением Арбитражного суда города Москвы от 15.04.2020, оставленным без изменения постановлениями Девятого арбитражного апелляционного суда от 03.08.2020 и Арбитражного суда Московского округа от 12.10.2020, в удовлетворении заявления отказано. В кассационной жалобе, поданной в Верховный Суд Российской Федерации, заявитель просит отменить указанные судебный акты и направить дело на новое рассмотрение в суд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2 Разрешая спор, суды, руководствуясь статьёй 807 Гражданского кодекса Российской Федерации, статьями 71, 100 Федерального закона от 26.10.2002 № 127-ФЗ «О несостоятельности (банкротстве)», пунктом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признали необоснованным требование заявителя, не представившего доказательств наличия у него финансовой возможности для предоставления должнику займа и его расходования последним, не востребовавшего его обратно вплоть до возбуждения дела о банкротстве должника. Выводы судов соответствуют нормам права, оснований для переоценки выводов судов по доводам жалобы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Андрееву Сергею Викторовичу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