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18.03.2020, оставленным без изменения постановлением Семнадцатого арбитражного апелляционного суда от 10.06.2020, заявленные требования удовлетворены в части признания недействительным оспариваемого решения относительно привлечения предпринимателя к ответственности по статье 122 Налогового кодекса Российской Федерации в виде штрафа, превышающего 27 966 рублей, в удовлетворении остальной части требований отказано. Постановлением Арбитражного суда Уральского округа от 21.09.2020 указанные судебные акты оставлены без изменения. В кассационной жалобе, поступившей в Верховный Суд Российской Федерации, предприниматель просит отменить состоявшиеся по делу судебные акты, ссылаясь на допущенные, по его мнению, нарушения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доказательств, руководствуясь положениями статей 249 , 346.15 , 346.16 Налогового кодекса Российской Федерации, с учетом правовой позиции, изложенной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суды отказали в удовлетворении заявленных требований, признав, что предпринимателем создана искусственная ситуация по оформлению договоров займа с взаимосвязанными юридическими лицами в целях занижения налоговой базы по налогу, уплачиваемому в связи с применением упрощенной системы налогообложения. Доводы жалобы были предметом рассмотрения судов и получили исчерпывающую правовую оценку исходя из выявленных налоговым органом противоречий между данными налоговой декларации предпринимателя и сведениями с расчетных счетов,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Межрайонная инспекция Федеральной налоговой службы №30 по Свердловской области (подробнее) Управление Федеральной налоговой службы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