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26.05.2020, оставленным без изменения постановлением Девятого арбитражного апелляционного суда от 28.07.2020, в выдаче дубликата исполнительного листа отказано. Постановлением Арбитражного суда Московского округа от 25.09.2020 указанные судебные акты оставлены без изменения. 2 Общество в кассационной жалобе просит названные судебные акты отменить, считая их принятыми с существенными нарушениями норм процессуального права. При рассмотрении доводов жалобы и принятых по делу судебных актов оснований для удовлетворения жалобы не установлено. Отказывая в удовлетворении заявления о выдаче дубликата исполнительного листа, суды руководствовались статьями 321, 323 Арбитражного процессуального кодекса Российской Федерации, Федерального закона от 02.10.2007 № 229-ФЗ «Об исполнительном производстве», признав недоказанным наличие оснований для его выдачи, с учетом непредставления заявителем доказательств, подтверждающих факт окончательной утраты исполнительного листа. Несогласие общества с оценкой судами доказательств, направленное на установление иных фактических обстоятельств, связанных с установлением факта утраты исполнительного листа, а также иная оценка реализации права на получение дубликата не создают оснований для пересмотра судебных актов Верховным Судом Российской Федерации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