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обязании Управления Федеральной службы государственной регистрации, кадастра и картографии по Республике Коми снять ограничения (арест, обременение) права на принадлежащие должнику шесть нежилых помещений. Определением Арбитражного суда Республики Коми от 12.02.2020, оставленным без изменения постановлениями Второго арбитражного апелляционного суда от 03.06.2020 и Арбитражного суда Волго-Вятского округа от 24.09.2020, производство по заявлению прекращено.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суд первой инстанции руководствовался пунктом 1 части 1 статьи 150 Арбитражного процессуального кодекса Российской Федерации, статьями 1, 115, 115.1, 392 Уголовно- процессуального кодекса Российской Федерации, и исходил из того, что арест может быть отменён только в рамках уголовного дела либо путём обжалования соответствующего постановления суда общей юрисдикции, в соответствии с которым он ранее наложен, в связи с чем признал его не подлежим рассмотрению в деле о банкротстве по правилам арбитражного судопроизводства. С указанными выводами впоследствии согласились суды апелляционной инстанции и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 Инвест» Нечаеву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