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12.11.2019, оставленным без изменения постановлением Двенадцатого арбитражного апелляционного суда от 12.02.2020, в удовлетворении требования отказано. Постановлением Арбитражного суда Поволжского округа от 29.09.2020 указанные судебные акты оставлены без изменения. 2 Общество просит принятые по делу судебные акты отменить, считая их незаконными и необоснованными.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страхования», суды отказали в удовлетворении заявленного требования, признав отсутствие у общества права на применение пониженного тарифа страховых взносов в спорный период. Доводы жалобы были предметом исследования судов и получили исчерпывающую правовую оценку исходя из отсутствия доказательств доли доходов по задекларированному основному виду деятельности (строительство) в размере не менее 70% в общем объеме доходов, не согласиться с которой оснований не имеется. Ссылка на отклонение судом первой инстанции ходатайства о назначении экспертизы, с целью установления фактических видов деятельности, осуществляемых обществом в 2016 году, сама по себе не может служить основанием для отмены судебных актов, поскольку суд счел достаточным объем представленных в дело доказательств, позволяющих полно и всесторонне рассмотреть спор по существу.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