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05.03.2020, оставленным без изменения постановлением Седьмого арбитражного 2 апелляционного суда от 08.06.2020, в удовлетворении заявленных требований отказано. Постановлением Арбитражного суда Западно-Сибирского округа от 22.09.2020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обжалуемые судебные акты отменить, ссылаясь на допущенные, по его мнению, существенные нарушения норм материального и процессуального права. Исходя из доводов жалобы и принятых по делу судебных актов таких оснований не установлено. Как следует из судебных актов, основанием для привлечения к ответственности послужили выводы административного органа о том, что обществом на земельном участке размещена и эксплуатируется база отдыха, что свидетельствует об использовании земельного участка не по целевому назначению. Частью 1 статьи 8.8 Кодекса Российской Федерации об административных правонарушениях предусмотрена ответственность за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статьи. Оценив представленные доказательства, руководствуясь положениями Земельного кодекса Российской Федерации, суды пришли к выводу о доказанности административным органом в действиях общества события правонарушения, ответственность за совершение которого предусмотрена частью 1 статьи 8.8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Оснований для освобождения от 3 административной ответственности ввиду малозначительности допущенного правонарушения суды не установили.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