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03.06.2020, оставленным без изменения постановлениями Третьего арбитражного апелляционного суда от 23.07.2020 и Арбитражного суда Восточно-Сибирского округа от 26.10.2020, в удовлетворении заявленного требования отказано. В кассационной жалобе агентство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агентства в период с 29.05.2019 по 03.07.2019 выездной проверки использования единой субвенции бюджетам субъектов Российской Федерации и бюджету города Байконур за период 2018 года управлением вынесено представление. В соответствии с представлением агентству необходимо рассмотреть информацию о выявленных нарушениях, а также принять меры по устранению причин и условий их совершения. Не соглашаясь с указанным ненормативным актом, агентство обратилось в арбитражный суд с соответствующим заявлением. Исследовав и оценив представленные в материалы дела доказательства, руководствуясь положениями Бюджетного кодекса Российской Федерации, Трудового кодекса Российской Федерации, Закона от 19.02.1993 № 4520-1 «О государственных гарантиях и компенсациях для лиц, работающих и проживающих в районах Крайнего Севера и приравненных к ним местностях», постановлением Правительства Российской Федерации от 02.10.2002 № 729 «О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учреждений», Методикой определения общего объема субвенций, предоставляемых из федерального бюджета, утвержденной постановлением Правительства Российской Федерации от 10.03.2009 № 213, постановлением Государственного комитета Совета Министров СССР по вопросам труда и заработной платы и секретариата всесоюзного центрального Совета Профессиональных союзов от 21.10.1969 № 421/26 «О размере районного коэффициента к заработной плате рабочих и служащих предприятий, организаций и учреждений, расположенных в Красноярском крае», суды пришли к выводу о том, что оспариваемое представление соответствует требованиям действующего законодательства, не нарушает права и законные интересы заявителя. Судебные инстанции исходили из отсутствия доказательств того, что возмещение командировочных расходов сверх установленных норм, а также начисление районного коэффициента с превышением на 10 процентов производились исключительно из средств краевого бюджета, в то время как финансирование спорных расходных обязательств осуществляется за счет средств субвенций из федерального бюджета, выделяемых для реализации переданных государственных полномочий. 3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дела, являлись предметом рассмотрения судов, получили надлежащую правовую оценку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записи актов гражданского состояния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