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2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судья приходит к выводу о предоставлении заявителю отсрочки уплаты госпошлины. 3 Руководствуясь статьями 102, 117,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Строительная компания «Феникс-Гран»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Челябинской области от 01.07.2019, постановление Восемнадцатого арбитражного апелляционного суда от 18.05.2020 и постановление Арбитражного суда Уральского округа от 21.10.2020 по делу № А76-13653/2019. Предоставить обществу с ограниченной ответственностью Строительная компания «Феникс-Гран»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