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04.12.2019, оставленным без изменения постановлениями Второго арбитражного апелляционного суда от 08.06.2020 и Арбитражного суда Волго-Вятского округа от 05.10.2020, заявленные требования удовлетворены. В кассационной жалобе, поданной в Верховный Суд Российской Федерации, администрация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администрацией и обществом (рекламораспространитель) по результатам проведения конкурса заключен договор от 22.08.2016 № 33 на установку и эксплуатацию отдельно стоящих рекламных конструкций, выданы соответствующие разрешения. Выявив, что в течение более чем года со дня выдачи разрешений рекламные конструкции по адресам, указанным в договоре, не установлены, администрация приняла оспариваемые решения об аннулировании разрешений на установку и эксплуатацию отдельно стоящих рекламных конструкций.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статьи 19 Федерального закона от 13.03.2006 № 38-ФЗ «О рекламе» (далее – Закон о рекламе), Положением об установке рекламных конструкций на территории муниципального образования городской округ Иваново, утвержденным решением Ивановской городской Думы от 20.12.2006 № 315, суды пришли к выводу об отсутствии у администрации оснований для аннулирования разрешений на установку рекламных конструкций. При этом судебные инстанции исходили из того, что спорные конструкции размещены рекламораспространителем в тех местах, которые обозначены в паспортах рекламных конструкций и в схемах расположения земельных участков для размещения рекламных конструкций, не являющихся объектами недвижимости. Суды признали недоказанным наличие обстоятельств, предусмотренных пунктом 3 части 18 статьи 19 Закона о рекламе, для принятия оспариваемых решений. Обстоятельства данного спора и представленные доказательства были предметом рассмотрения и оценки судов. Доводы общества являлись предметом рассмотрения судов, получили надлежащую правовую оценку и мотивированно отклонены. Приведенные в жалобе доводы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Иваново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