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Амурской области от 23.03.2020, оставленным без изменения постановлением Шестого арбитражного апелляционного суда от 26.06.2020, в иске отказано. Постановлением Арбитражного суда Дальневосточного округа от 25.09.2020 указанные судебные акты оставлены без изменения. Общество обратилось в Верховный Суд Российской Федерации с кассационной жалобой, в которой просит принятые по делу судебные акты отменить,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Оценив представленные доказательства, руководствуясь положениями статей 199, 200, 203 Гражданского кодекса Российской Федерации и разъяснениями пункта 15 постановления Пленума Верховного Суда Российской Федерации от 29.09.2015 № 43 «О некоторых вопросах, связанных с применением норм Гражданского кодекса Российской Федерации об исковой давности», суды отказали в иске, признав пропущенным срок исковой давности по требованиям о взыскании основного долга, затрат на страхование, а также убытков, вызванных неприменением индексации стоимости выполненных в 2013-2014 годах работ, а также указав на недоказанность совокупности условий, необходимых для взыскания убытков по содержанию строительной площадки. Доводы жалобы были предметом исследования судов и получили исчерпывающую правовую оценку с учетом условий контракта, не согласиться с которыми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291.1, 291.6, 291.8 Арбитражного процессуального кодекса Российской Федерации, судья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