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30.01.2020 в удовлетворении заявленного требования отказано. 2 Постановлением Десятого арбитражного апелляционного суда от 17.06.2020 решение суда первой инстанции отменено, заявленные требования удовлетворены. Постановлением Арбитражного суда Московского округа от 24.09.2020 постановление суда апелляционной инстанции отменено, решение суда первой инстанции оставлено в силе. Общество просит отменить постановление суда округа, считая его принятым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Отменяя постановление суда апелляционной инстанции и оставляя в силе решение суда первой инстанции, суд округа руководствовался положениями статей 146, 154, 169, 171, 172 Налогового кодекса Российской Федерации, а также правовой позицией,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и исходил из установленных судом первой инстанции обстоятельств, без учета которых суд апелляционной инстанции пришел к 3 выводу о недоказанности налоговым органом факта получения обществом необоснованной налоговой выгоды. Приведенные в жалобе доводы были предметом исследования судов первой и кассационной инстанций и получили исчерпывающую правовую оценку применительно к установленным обстоятельствам создания формального документооборота в отсутствие реальных хозяйственных операций со спорными контрагентами,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