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23.03.2020, оставленным без изменения постановлением Девятого арбитражного апелляционного суда от 07.08.2020, в иске отказано. Постановлением Арбитражного суда Московского округа от 03.11.2020 указанные судебные акты оставлены без изменения. 2 Общество обратилось в Верховный Суд Российской Федерации с кассационной жалобой, в которой просит принятые по делу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Оценив представленные доказательства, руководствуясь положениями статей 450.1, 456, 469 Гражданского кодекса Российской Федерации,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 суды в иске отказали, признав факт ненадлежащего исполнения истцом обязательств по контракту. Доводы жалобы были предметом исследования судов и получили исчерпывающую правовую оценку исходя из технических и функциональных характеристик товара, не согласиться с которой оснований не имеется. При этом суды признали, что отсутствие аудиозаписи судебного заседания в суде первой инстанции само по себе не является основанием для отмены судебного акта с учетом положений абзаца 2 пункта 22 постановления Пленума Высшего Арбитражного Суда Российской Федерации от 17.02.2011 № 12 «О некоторых вопросах применения Арбитражного процессуального кодекса Российской Федерации в редакции Федерального закона от 27.07.2010 № 228-ФЗ «О внесении изменений в Арбитражный процессуальный кодекс Российской Федерации». Данное обстоятельство является основанием для отмены судебного акта, если посредством аудиозаписи были зафиксированы сведения, послужившие основанием для его принятия. Таких обстоятельств судом округа не установлено. Общество не оспаривает, что протокол судебного заседания в письменной форме имеется в материалах дела, в нем отражены процессуальные действия. Доводов о том, что от общества поступали замечания на указанный протокол судебного заседания в связи с неотражением всех процессуальных действий, не приведено. При этом решение суда первой 3 инстанции принято на основании исследования имеющихся в материалах дела письменных доказательств, представленных сторонами.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