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18.02.2020, оставленным без изменения постановлением Первого арбитражного апелляционного суда от 25.05.2020, арбитражный управляющий привлечена к административной ответственности по части 3 статьи 14.13 Кодекса 2 Российской Федерации об административных правонарушениях и ей назначено административное наказание в виде предупреждения. Постановлением Арбитражного суда Волго-Вятского округа от 25.09.2020 указанные судебные акты оставлены без изменения. Арбитражный управляющий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установив, что арбитражный управляющий в нарушение Федерального закона от 26.10.2002 № 127-ФЗ «О несостоятельности (банкротстве)», не приняла своевременных мер в целях подачи заявления о привлечении контролировавших должника лиц к субсидиарной ответственности, не опубликовала информацию о признании собрания кредиторов должника несостоявшимся, суды пришли к выводу о доказанности административным органом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Вина арбитражного управляющего установлена, процедура и срок давности привлечения к административной ответственности соблюдены, наказание назначено в пределах санкции нормы. Дело рассмотрено судом округа согласно части 4.1 статьи 206 Арбитражного процессуального кодекса Российской Федерации по правилам части 2 статьи 288.2 Арбитражного процессуального кодекса Российской Федерации в соответствии с разъяснениями, изложенными в пунктах 44, 45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