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11.03.2020, оставленным без изменения постановлением Пятнадцатого арбитражного апелляционного суда от 09.07.2020, в иске отказано. Постановлением Арбитражного суда Северо-Кавказского округа от 12.10.2020 указанные судебные акты оставлены без изменения. 2 Предприниматель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702, 740, 746, 753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отказали в иске, признав недоказанным факт выполнения истцом как подрядчиком спорных работ по контракту. Доводы жалобы были предметом исследования судов апелляционной и кассационной инстанций и получили исчерпывающую правовую оценку, в том числе, с учетом сроков действия контракта,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