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12.03.2020, оставленным без изменения постановлением Пятого арбитражного апелляционного суда от 25.05.2020, заявленное требование удовлетворено. 2 Постановлением Арбитражного суда Дальневосточного округа от 25.09.2020 указанные судебные акты отменены, в удовлетворении заявленного требования отказано. Общество обратилось в Верховный Суд Российской Федерации с кассационной жалобой, в которой просит постановление суда округа отменить, ссылаясь на допущенные, по его мнению,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Статьей 16.3 Кодекса Российской Федерации об административных правонарушениях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Кодекса. 3 Отменяя решение суда первой и постановление суда апелляционной инстанций и отказывая в удовлетворении заявленных требований, суд округа руководствовался положениями Товарной номенклатуры внешнеэкономической деятельности Евразийского экономического союза, утвержденной Решением Совета Евразийской Экономической комиссии от 16.07.2012 № 54, Технического регламента Таможенного союза ТР ТС 031/2012 «О безопасности сельскохозяйственных и лесохозяйственных тракторов и прицепов к ним», Перечня продукции, в отношении которой подача таможенной декларации сопровождается представлением документа об оценке соответствия требованиям ТР ТС 031/2012, утвержденного Решением Коллегии Евразийской экономической комиссии от 12.04.2016 № 30, и исходил из того, что предметом нарушения являются не валочно-пакетирующие машины, а компоненты (запасные части), которые по своему наименованию, коду ТН ВЭД ЕАЭС и области применения отнесены к области спорного технического регулирования. Доводы заявителя кассационной жалобы о нарушении судом кассационной инстанции положений статей 4.5 и 30.17 Кодекса Российской Федерации об административных правонарушениях основаны на неверном толковании соответствующих правовых норм, поскольку судами рассматривалось дело не о привлечении к административной ответственности, а об оспаривании постановления административного органа о привлечении к административной ответственности.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