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30.12.2019, оставленным без изменения постановлением Первого арбитражного апелляционного суда от 25.03.2020, предприниматель привлечен к административной ответственности по части 2 статьи 14.10 Кодекса Российской Федерации об административных правонарушениях и ему 2 назначено наказание в виде административного штрафа в размере 50000 рублей с направлением изъятой продукции на уничтожение. Постановлением Суда по интеллектуальным правам от 22.09.2020 указанные судебные акты оставлены без изменения. Предприниматель обратился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административный орган выявил факт реализации предпринимателем товара, содержащего незаконное воспроизведение чужого товарного знака. Административный орган составил протокол об административном правонарушении, ответственность за которое предусмотрена частью 2 статьи 14.10 Кодекса Российской Федерации об административных правонарушениях, на основании которого обратился в арбитражный суд с заявлением о привлечении предпринимателя к административной ответственности. 3 Часть 2 статьи 14.10 Кодекса Российской Федерации об административных правонарушениях предусматривает административную ответственность за производство в целях сбыта либо реализацию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Оценив представленные доказательства, руководствуясь положениями Гражданского кодекса Российской Федерации, разъяснениями, изложенными в постановлении Пленума Высшего Арбитражного Суда Российской Федерации от 17.02.2011 № 11 «О некоторых вопросах применения Особенной части Кодекса Российской Федерации об административных правонарушениях», суды пришли к выводу о доказанности административным органом в действиях предпринимателя состава вмененного административного правонарушения. Судами также установлено, что процедура и срок давности привлечения к административной ответственности соблюдены, оснований для применения судами положений статьи 2.9 и статьи 4.1.1 Кодекса не имеется. Доводы предпринимателя о недоказанности объективной стороны состава административного правонарушения, об отсутствии индивидуализации наказания, были предметом исследования судов и получили исчерпывающую правовую оценку в обжалуемых судебных актах, не согласиться с которой оснований не имеется. Тот факт, что предприниматель относится к субъектам малого предпринимательства, рассматриваемое административное правонарушение совершено впервые, сами по себе не свидетельствуют о наличии оснований для применения статьи 4.1.1 Кодекса Российской Федерации об административных правонарушениях. 4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