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23.12.2019, оставленным без изменения постановлением Двенадцатого арбитражного апелляционного суда от 26.05.2020, в удовлетворении требования отказано. Постановлением Арбитражного суда Поволжского округа от 23.09.2020 указанные судебные акты оставлены без изменения. 2 Общество просит принятые по делу судебные акты отменить, считая их незаконными и необоснованными.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Федерального закона от 24.07.2009 № 212-ФЗ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страхования», суды отказали в удовлетворении заявленного требования, признав отсутствие у общества права на применение пониженного тарифа страховых взносов в спорный период. Доводы жалобы были предметом исследования судов и получили исчерпывающую правовую оценку исходя из отсутствия доказательств доли доходов по задекларированному основному виду деятельности (строительство) в размере не менее 70% в общем объеме доходов,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