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17.12.2019, оставленным без изменения постановлением Двадцать первого арбитражного 2 апелляционного суда от 16.06.2020, в удовлетворении заявленного требования отказано. Постановлением Арбитражного суда Центрального округа от 17.09.2020 указанные судебные акты оставлены без изменения. Общество обратилось в Верховный Суд Российской Федерации с кассационной жалобой на принятые по делу судебные акты, в которой просит их отменить. При изучении доводов жалобы и принятых по делу судебных актов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выводы административного органа об осуществлении обществом перевозок пассажиров без заключения договора страхования гражданской ответственности перевозчика за причинение вреда жизни, здоровью, имуществу пассажиров. Частью 1 статьи 11.31 Кодекса Российской Федерации об административных правонарушениях установлена ответственность за осуществление перевозок пассажиров перевозчиком, риск гражданской ответственности которого за причинение при перевозках вреда жизни, здоровью, имуществу пассажиров не застрахован в соответствии с требованиями, установленными федеральным законом. Оценив представленные доказательства, руководствуясь положениями Федерального закона от 14.06.2012 № 67 «Об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метрополитеном», суды пришли к выводу о наличии в действиях общества состава правонарушения, ответственность за которое предусмотрена частью 1 статьи 11.31 Кодекса Российской Федерации об административных правонарушениях. 3 Нарушений процедуры привлечения общества к административной ответственности не установлено, срок давности привлечения к административной ответственности соблюден. Обстоятельств, свидетельствующих о возможности применения положений статьи 2.9, части 3.2 статьи 4.1, статьи 4.1.1 Кодекса Российской Федерации об административных правонарушениях, не выявлено. Доводы жалобы о недоказанности факта перевозки пассажиров были предметом исследования судов и получили исчерпывающую правовую оценку,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