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января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обратился в суд с заявлением о признании недействительной сделкой договора аренды от 03.06.2019 № ОМТ03/06-1А, по которому переданы в аренду Данченко Артёму Сергеевичу сроком на 6 месяцев: погрузчик-экскаватор Caterpillar 434F, номер кузова CAT0434FHLDH00503, двигатель № CRS74773, цвет желтый, 2013 года выпуска, трактор Беларус 82.1, номер кузова 808198328, двигатель № 890131, цвет синий, 2014 года выпуска, бульдозер SHEHWA TY165-2, номер кузова V04014, двигатель № 1214F005325, цвет желтый, 2014 года выпуска; применении последствий недействительности сделки. Определением Арбитражного суда города Москвы от 01.06.2020 заявление удовлетворено. Постановлением Девятого арбитражного апелляционного суда от 21.08.2020, оставленным без изменения постановлением Арбитражного суда Московского округа от 11.11.2020, вышеуказанное определение отменено; в удовлетворении заявления отказано. В кассационной жалобе, поданной в Верховный Суд Российской Федерации, заявитель просит отменить постановления судов апелляционной инстанции и округа, определение суда первой инстанции оставить в силе. По смыслу части 1 статьи 291.1, части 7 статьи 291.6, статьи 291.11 Арбитражного процессуального кодекса Российской Федерации кассационная 2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Отменяя определение и разрешая спор, апелляционный суд, руководствуясь пунктом 2 статьи 61.2 Федерального закона от 26.10.2002 № 127-ФЗ «О несостоятельности (банкротстве)», пунктами 5 – 7, 9 постановления Пленума Высшего Арбитражного Суда Российской Федерации от 23.12.2010 № 63 «О некоторых вопросах, связанных с применением главы III.1 Федерального закона «О несостоятельности (банкротстве)», исходил из того, что оспариваемая сделка заключена с незаинтересованным лицом, не являлась безвозмездной и предполагала поступление денежных средств в конкурсную массу, в связи с чем не установил оснований для признания её недействительной как не причинившей вред должнику и его кредиторам. Суд округа поддержал выводы апелляционного суда, указав на отсутствие нарушения прав и законных интересов заявителя, отказавшегося от исполнения оспариваемой сделки. Выводы судов апелляционной инстанции и округа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конкурсному управляющему обществом с ограниченной ответственностью «Открытый мир телекоммуникации» Кадерову Рамилю Ислямовичу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