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152 670 325 рублей 96 копеек. Определением Арбитражного суда города Санкт-Петербурга и Ленинградской области от 26.09.2018, оставленным без изменения постановлением Тринадцатого арбитражного апелляционного суда от 24.12.2018, требование признано обоснованным и включено в третью очередь реестра. Постановлением Арбитражного суда Северо-Западного округа от 03.04.2019 указанные судебные акты отменены, дело направлено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21.11.2019 требование признано обоснованным и включено в третью очередь реестра. Постановлением Тринадцатого арбитражного апелляционного суда от 24.03.2020, оставленным без изменения постановлением Арбитражного суда Северо-Западного округа от 23.09.2020, названное определение суда первой инстанции отменено; в удовлетворении заявления отказано. В кассационной жалобе, поданной в Верховный Суд Российской Федерации, заявитель просит отменить принятые на новом рассмотрении 2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руководствуясь статьями 10, 170, 506, 510, 516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спорное требование основано на мнимой сделке заинтересованных лиц, не имевших намерений создать реальные правоотношения, в связи с чем не установил оснований для удовлетворения заявления.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«БалтикТрансЛайн»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