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19.11.2019, оставленным без изменения постановлением Десятого арбитражного апелляционного суда от 03.06.2020, с управления в пользу общества взыскано 395 743 395 руб. 10 коп. расходов на реализацию инвестиционного контракта; в удовлетворении требований о взыскании 11 849 000 руб. отказано; в удовлетворении требований к учреждению отказано. Арбитражный суд Московского округа постановлением от 11.08.2020 отменил решение суда первой инстанции, постановление суда апелляционной 2 инстанции в части удовлетворения исковых требований и направил дело в указанной части на новое рассмотрение в Арбитражный суд Московской области; в остальной части оставил судебные акты без изменения.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материалов дела и доводов кассационной жалобы не установлено. Суд кассационной инстанции вправе отменить решение судов первой и апелляционной инстанций и направить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Отменяя судебные акты судов первой и апелляционной инстанций в части удовлетворения исковых требований и направляя дело в отмененной части на новое рассмотрение, суд округа, действуя в пределах полномочий, установленных статьями 286 и 287 Арбитражного процессуального кодекса Российской Федерации, исходил из того, что судами не исследованы все обстоятельства, имеющие существенное значение для правильного разрешения спора, не определены характер спорного правоотношения и подлежащее применению законодательство, а также не дана оценка доводам управления (в том числе со ссылкой на пункт 9.5 контракта (в редакции дополнительного соглашения), в соответствии с которым затраты по работам, которые утратили свою ценность вследствие длительного неосвоения строительной площадки, не подлежат возмещению, учитывая, что контракт заключен в 2006 году, земельный участок предоставлен под строительство на срок до 04.12.2017, протокол предварительного распределения площадей подписан сторонами 27.04.2016, а площадь объекта, превышающая 4000 кв. м, подлежит распределению в собственность общества; а также статьи 2 и 5 контракта, согласно которым общество вправе самостоятельно определять источники финансирования инвестиционного проекта, а управление и учреждение не несут ответственности по договорам, заключенным обществом с третьими лицами). 3 Доводы кассационной жалобы не опровергают выводы суда и не свидетельствуют о существенном нарушении судом норм права при принятии обжалуемого судебного акта, в связи с чем основания для передачи жалобы для рассмотрения в судебном заседании отсутствуют.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«Центр офицеров запаса «Ратник»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