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«Юнилог» обратилось в Арбитражный суд города Москвы с иском, уточненным в порядке статьи 49 Арбитражного процессуального кодекса Российской Федерации, к страховому публичному акционерному обществу «Ингосстрах» о признании страховым случаем факта утраты груза (35 коробок одежды, вес 470 кг), произошедшего 07.12.2018 в процессе перевозки автомобилем компанией УАБ «Трансарна» по маршруту из Голландии в Литву, застрахованного в СПАО «Ингосстрах» по генеральному полису от 27.02.2017 № 462-011934/17 и страховому сертификату от 06.12.2018 № К112; взыскании в пользу выгодоприобретателя – ЗАО «Юнилог ЛТ» суммы страхового возмещения по генеральному полису от 27.02.2017 № 462-011934/17 и страховому сертификату от 06.12.2018 № К112 в размере 75 783,89 евро в рублях по курсу Центрального Банка Российской Федерации на дату фактического исполнения решения суда; взыскании в пользу выгодоприобретателя – ЗАО «Юнилог ЛТ» процентов за 2 пользование чужими денежными средствами в размере 680,50 евро в рублях по курсу Центрального Банка Российской Федерации на дату фактического исполнения решения суда. К участию в деле в качестве третьих лиц, не заявляющих самостоятельных требований относительно предмета спора, привлечено закрытое акционерное общество «Юнилог ЛТ», закрытое акционерное общество «ТрансАРНА». Решением Арбитражного суда города Москвы от 26.02.2020 в удовлетворении иска отказано. Постановлением Девятого арбитражного апелляционного суда от 29.06.2020 решение суда первой инстанции оставлено без изменения. Арбитражный суд Московского округа постановлением от 12.10.2020 указанные судебные акты оставил без изменения. Общество с ограниченной ответственностью «Юнилог» и закрытое акционерное общество «Юнилог ЛТ» обратились в Судебную коллегию Верховного Суда Российской Федерации с кассационными жалобами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условия генерального полиса и страхового сертификата, накладную CMR, руководствуясь положениями статей 431, 929, 930, 941, 943 Гражданского кодекса Российской Федерации, Конвенции о договоре международной перевозки грузов, Правилами транспортного страхования грузов СПАО «Ингосстрах», статьей 4 Арбитражного процессуального кодекса Российской Федерации, суды пришли к выводу об отсутствии оснований для удовлетворения иска. 3 Доводы жалоб о наступлении страхового случая, влекущего выплату страхового возмещения,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«Юнилог» и закрытому акционерному обществу «Юнилог ЛТ»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