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января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страховое акционерное общество «ВСК» обратилось в Арбитражный суд Ростовской области с иском о взыскании в порядке суброгации с Правительства Ростовской области 14 375 310 рублей невозмещенного вреда, причиненного правомерными действиями по отчуждению птицы. К участию в деле в качестве третьих лиц, не заявляющих самостоятельных требований относительно предмета спора, привлечены общество с ограниченной ответственностью «Белая птица-Ростов» в лице конкурсного управляющего Антонова Алексея Андреевича, Министерство сельского хозяйства и продовольствия Ростовской области. Решением Арбитражного суда Ростовской области от 01.06.2020 в удовлетворении иска отказано. Постановлением Пятнадцатого арбитражного апелляционного суда от 10.08.2020 решение суда первой инстанции оставлено без изменения. Арбитражный суд Северо-Кавказского округа постановлением от 16.11.2020 указанные судебные акты оставил без изменения. 2 Страховое акционерное общество «ВСК» обратилось в Судебную коллегию по экономическим спорам Верховного Суда Российской Федерации с кассационной жалобой на принятые по делу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Отказывая в удовлетворении иска, суды исходили из конкретных фактических обстоятельств настоящего дела и руководствовались положениями статей 16.1, 242, 929, 965, 1064 Гражданского кодекса Российской Федерации, Закона Российской Федерации от 14.05.1993 № 4979-1 «О ветеринарии», Правилами отчуждения животных и изъятия продуктов животноводства при ликвидации очагов особо опасных болезней животных, утвержденными постановлением Правительства Российской Федерации от 26.05.2006 № 310, постановлением Правительства Ростовской области от 26.09.2012 № 914 «Об отчуждении животных и (или) изъятии продуктов животноводства при ликвидации очагов особо опасных болезней животных на территории Ростовской области». Несогласие заявителя кассационной жалобы с произведенной судами оценкой обстоятельств дела не свидетельствует о неправильном применении судами норм материального и процессуального права, не подтверждает существенных нарушений норм материального права и норм процессуального права, повлиявших на исход дела, и не является достаточным основанием для пересмотра судебных актов в кассационном порядке.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3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страховому акционерному обществу «ВСК»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