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«Концерн «Моринформсистема-Агат» обратилось в Арбитражный суд города Москвы с иском о взыскании с публичного акционерного общества «Институт электронных управляющих машин им. И.С. Брука» 2 231 121 рубля 44 копеек неустойки по договору поставки от 05.12.2017 № 1018187404892020105000118/П-7-2017. Решением Арбитражного суда города Москвы от 18.02.2020 иск удовлетворен. Постановлением Девятого арбитражного апелляционного суда от 23.06.2020 решение суда первой инстанции оставлено без изменения. Арбитражный суд Московского округа постановлением от 28.09.2020 указанные судебные акты оставил без изменения. Публичное акционерное общество «Институт электронных управляющих машин им. И.С. Брука»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установив факт просрочки исполнения ответчиком обязательств по поставке товара, руководствуясь положениями статей 309, 310, 330, 331, 333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сделали вывод о наличии оснований для взыскания договорной неустойки. Доводы, изложенные заявителем в кассационной жалобе, приводились в судах,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«Институт электронных управляющих машин им. И.С. Брука»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