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13.03.2020, оставленным без изменения постановлением Девятого арбитражного апелляционного суда от 05.08.2020 и постановлением Арбитражного суда Московского округа от 09.11.2020, исковое требование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(исполнитель) и министерством (государственный заказчик) заключены государственные контракты от 31.12.2015 № 0410/207 на период с 01.01.2016 по 30.06.2016; от 30.06.2016 № 0410/82 на период с 01.07.2016 по 31.12.2016. Министерство 30.12.2016 направило обществу заявление об обеспечении функционирования каналов связи системы с 01.01.2017 для информационно- телекоммуникационного взаимодействия и заявление от 17.04.2017 с просьбой обеспечить информационно-телекоммуникационное взаимодействие в рамках системы в связи с высокой важностью бесперебойного функционирования системы. Оказанные услуги за спорный период министерством не оплачены, что явилось основанием для обращения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Федерального закона от 07.07.2003 № 126-ФЗ «О связи», распоряжением Президента Российской Федерации от 04.06.2011 № 357-рп «Об определении единственных исполнителей государственных заказов на выполнение работ, касающихся системы изготовления, оформления и контроля паспортно-визовых документов нового поколения», правовой позицией, изложенной в пунктах 21, 23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наличии оснований для удовлетворения исковых требований, с чем согласился суд округа. Судебные инстанции исходили из доказанности истцом обстоятельств оказания спорных услуг и отсутствия доказательств надлежащей их оплаты ответчиком. Суды также отметили, что направленными в адрес истца письмами министерство подтвердило, что услуги связи, оказываемые обществом по 3 системе, не должны быть приостановлены в связи с высокой важностью бесперебойного функционирования системы. Доводы министерства, изложенные в кассационной жалобе, в том числе об отсутствии заключенного контракта на исполнение ответчиком спорных обязательств,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дела. Приведенные доводы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