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«АвтоЗип» обратилось в Арбитражный суд Московской области с иском к обществу с ограниченной ответственностью «Эмекс.Ру» о взыскании 988 513 рублей 98 копеек задолженности, 66 431 рубля 22 копеек процентов на основании статьи 317.1 Гражданского кодекса Российской Федерации, 225 276 рублей 44 копеек процентов за пользование чужими денежными средствами, с последующим их начислением по день фактического исполнения. Решением Арбитражного суда Московской области от 19.11.2018 в удовлетворении исковых требований отказано. Постановлением Десятого арбитражного апелляционного суда от 04.04.2019 решение суда первой инстанции отменено и иск удовлетворен. Арбитражный суд Московского округа постановлением от 10.06.2020 постановление суда апелляционной инстанции оставил без изменения. Общество с ограниченной ответственностью «АвтоЗип» обратилось в Арбитражный суд Московской области с заявлением о взыскании с общества с ограниченной ответственностью «Эмекс.Ру» 80 000 рублей судебных расходов на оплату услуг представителя, 28 802 рублей расходов по уплате 2 государственной пошлины, 50 116 рублей 80 копеек судебных издержек на возмещение расходов по проезду. Определением Арбитражного суда Московской области от 20.01.2020 заявление удовлетворено, расходы взысканы с заявителя в пользу общества с ограниченной ответственностью «Эмекс.Ру». Постановлением Десятого арбитражного апелляционного суда от 17.03.2020 определение суда первой инстанции отменено, заявление удовлетворено. Арбитражный суд Московского округа постановлением от 25.09.2020 постановление суда апелляционной инстанции оставил без изменения. Общество с ограниченной ответственностью «АвтоЗип» обратилось в Судебную коллегию Верховного Суда Российской Федерации с кассационной жалобой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Отклоняя заявление истца о возмещении судебных издержек, понесенных в связи с рассмотрением апелляционной жалобы на определение суда первой инстанции о взыскании судебных расходов, суд кассационной инстанции руководствовался положениями статей 101, 106, 110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правовыми позициями, содержащимися в определениях Конституционного Суда Российской Федерации от 21.03.2013 № 461-О и от 20.03.2014 № 664-О. Доводы, изложенные в кассационной жалобе, основаны на неверном толковании норм права и не являются основанием для пересмотра судебного акта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«АвтоЗип»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