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Девятого арбитражного апелляционного суда от 27.05.2019, оставленным без изменения постановлением Арбитражного суда Московского округа от 30.07.2019, апелляционная жалоба общества на определение Арбитражного суда города Москвы от 26.03.2019 возвращена в связи с неустранением в установленный судом срок обстоятельств, послуживших основанием для оставления апелляционной жалобы без движения. В кассационной жалобе общество просит о пересмотре судебных актов апелляционного и окружного судов как незаконных вследствие нарушения срока официального размещения информации об оставлении жалобы без движения, не позволившего устранить недостатки.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Поддерживая выводы суда апелляционной инстанции, окружной суд правильно указал, что общество было надлежащим образом извещено об оставлении апелляционной жалобы без движения и имело достаточно времени для устранения недостатков. Установлено своевременное направление апелляционным судом обществу копии определения от 11.04.2019 об оставлении жалобы без движения по адресу, указанному в Едином государственном реестре, и неполучение указанной корреспонденции адресатом по зависящим от него обстоятельствам. Таким образом, возвращение апелляционной жалобы произведено судом в соответствии с законом и обстоятельствами подачи апелляционной жалобы и довод общества об обратном противоречит им.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«Оптико-электронные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БЮДЖЕТНОЕ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 (подробнее) Ответчики: ООО "Оптико-электронные системы" (подробнее) Иные лица: ООО "РЕЗУЛЬТАТ ПЛЮС"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