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«Шуз маркет» (далее – общество) обратилось в суд с заявлением о включении требования в размере 1 029 527 726 рублей 01 копейки в реестр требований кредиторов должника. Определением Арбитражного суда города Санкт-Петербурга и Ленинградской области от 01.12.2016 требование общества признано обоснованным и подлежащим включению в третью очередь реестра. Впоследствии Губайдуллин Р.Ш. обратился в Седьмой арбитражный апелляционный суд с жалобой на вышеуказанное определение суда первой инстанции от 01.12.2016. Определением Седьмого арбитражного апелляционного суда от 23.06.2020, оставленным без изменения постановлением Арбитражного суда Западно-Сибирского округа от 24.09.2020, апелляционная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233 и 259 Арбитражного процессуального кодекса Российской Федерации, исходил из отсутствия оснований для принятия жалобы ввиду пропуска заявителем процессуального срока на её подачу и отсутствия мотивированного ходатайства о восстановлении данного срока.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Губайдуллину Рашиту Шайхулловичу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