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«Сматекс Инжиниринг» (покупатель) обратилось в Арбитражный суд Ярославской области с иском, уточненным в порядке, установленном статьей 49 Арбитражного процессуального кодекса Российской Федерации, о взыскании с общества с ограниченной ответственностью «Компания Дизель» (поставщика) 1 083 477 рублей 28 копеек убытков, 777 682 рублей неустойки за период с 05.06.2018 по 16.02.2019 и 67 898 рублей 47 копеек процентов за пользование чужими денежными средствами, начисленных с 07.12.2018 по 22.03.2019. Решением Арбитражного суда Ярославской области от 19.12.2019 иск удовлетворен в части взыскания 308 791 рубля 28 копеек убытков, 20 560 рублей 22 копеек процентов за пользование чужими денежными средствами, 774 656 рублей неустойки; в удовлетворении иска в остальной части отказано. Постановлением Второго арбитражного апелляционного суда от 22.05.2020 решение суда первой инстанции оставлено без изменения. 2 Арбитражный суд Волго-Вятского округа постановлением от 22.09.2020 указанные судебные акты оставил без изменения. Общество с ограниченной ответственностью «Компания Дизель»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продавец, получив сумму предварительной оплаты, в согласованный сторонами срок товар не поставил, тогда как поведение поставщика давало покупателю основания полагать о начале исполнения ответчиком своих обязательств по договору, неисполнение поставщиков обязательств по договору поставки привело к возникновению у покупателя упущенной выгоды в виде разницы между стоимостью приобретаемого у ответчика оборудования и стоимостью его продажи по договору с иным лицом, руководствуясь статьями 15, 395, 431, 453, 487, 506, 516 Гражданского кодекса Российской Федерации, пунктами 2, 3, 5, 60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пунктом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иск в части. Доводы жалобы,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3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Дизель»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