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разрешении разногласий, возникших с конкурсным управляющим должника Максименко Александром Александровичем по вопросу включения требований общества в размере 6 881 938 рублей 60 копеек во вторую очередь погашения текущих требований. Определением Арбитражного суда Ярославской области от 26.12.2019, оставленным без изменения постановлениями Второго арбитражного апелляционного суда от 23.06.2020 и Арбитражного суда Волго-Вятского округа от 16.09.2020, отказано в удовлетворении требований общества.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313 и 384 Гражданского кодекса Российской Федерации, статьи 134 Федерального закона от 26.10.2002 № 127-ФЗ «О несостоятельности (банкротстве)», позицией, изложенной в пункте 21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установив, что по договору цессии, на котором основано заявленное требование общества, последнему были переданы несуществующие права требования, пришли к выводу об отсутствии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«ПФК-Трейдинг»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