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Швайгер Ю.А. обратился в суд с заявлением о включении в реестр требований кредиторов должника его требования в размере 18 353 375 рублей. Определением Арбитражного суда города Москвы от 28.02.2020 требование признано обоснованным и подлежащим включению в третью очередь реестра. Постановлением Девятого арбитражного апелляционного суда от 30.05.2019, оставленным без изменения постановлением Арбитражного суда Московского округа от 07.08.2019, отменено определение суда первой инстанции от 28.02.2020, отказано во включении требований в реестр.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или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мнимость отношений, положенных в основу требований Швайгера Ю.А., пришел к выводу об отсутствии оснований для удовлетворения заявления, указав на непредставление доказательств расходования должником денежных средств, полученных от Швайгера Ю.А., и отсутствие экономической целесообразности спорных отношений.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Швайгеру Юрию Аркадьевичу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