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«Производственно-строительная компания «Подводспецстрой» (далее – общество) обратилось в суд с заявлением о включении в реестр требований кредиторов должника задолженности в размере 31 132 602 рублей 32 копеек. Определением Арбитражного суда Пермского края от 03.12.2019 заявление удовлетворено, требования общества включены в третью очередь реестра. Постановлением Семнадцатого арбитражного апелляционного суда от 29.07.2020, оставленным без изменения постановлением Арбитражного суда Уральского округа от 21.09.2020, изменено определение суда первой инстанции от 03.12.2019, резолютивная часть определения изложена в следующей редакции: «Признать требование ООО «Производственно-строительная компания «Подводспецстрой» в размере 31 132 602 руб. 32 коп. обоснованным и подлежащим удовлетворению после погашения требований, указанных в пункте 4 статьи 142 Федерального закона «О несостоятельности (банкротстве)» (далее – Закон о банкротстве), но приоритетно по отношению 2 к требованиям лиц, указанных в пункте 4 статьи 148 Закона о банкротстве (очередность, предшествующая распределению ликвидационной квоты)». В кассационной жалобе, поданной в Верховный Суд Российской Федерации, заявитель просит отменить указанные постановления судов апелляционной инстанции и округа в части изменения очерёдности удовлетворения требований общества.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Изменяя определение суда первой инстанции,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позицией, изложенной в Обзоре судебной практики разрешения споров, связанных с установлением в процедурах банкротства требований контролирующих должника и аффилированных с ним лиц, утвержденных Президиумом Верховного Суда Российской Федерации 29.01.2020, установил, что на момент возникновения обязательств, послуживших основанием для обращения общества с заявленными требованиями, последнее являлось контролирующим должника лицом, а также направленность данных отношений на компенсационное финансирование должника в условиях имущественного кризиса, пришёл к выводу о необходимости субординации требований общества.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выводов судов по доводам жалобы не имеется. Нарушений норм процессуального права, влекущих за собой безусловную отмену указанных судебных актов, судами апелляционной инстанции и округа не допущено.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автономной некоммерческой организации по предоставлению социально-правовых услуг населению и развитию социального предпринимательства «Финансовая кладовая»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