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13.02.2020, оставленным без изменения постановлением Девятого арбитражного апелляционного суда от 23.06.2020, в удовлетворении заявленных требований отказано. 2 Постановлением Арбитражного суда Московской области от 22.09.2020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акта отменить, ссылаясь на допущенные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непредставления обществом информации в Банк России. Статьей 19.7.3 Кодекса Российской Федерации об административных правонарушениях установлена административная ответственность за непредставление или нарушение порядка либо сроков представления в Банк России отчетов, уведомлений и иной информации, предусмотренной законодательством и (или) необходимой для осуществления этим органом (должностным лицом) его законной деятельности, либо представление информации не в полном объеме и (или) недостоверной информации, за исключением случаев, если в соответствии со страховым законодательством, законодательством Российской Федерации о кредитной кооперации, о 3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законодательства, законодательства Российской Федерации о кредитной кооперации, о микрофинансовой деятельности и микрофинансовых организациях и о ломбардах, если эти действия (бездействие) не содержат уголовно наказуемого деяния. Оценив представленные доказательства, руководствуясь положениями Федерального закона от 10.07.2002 № 86-ФЗ «О Центральном банке Российской Федерации (Банке России)», суды пришли к выводу о наличии в действиях общества состава административного правонарушения, предусмотренного статьей 19.7.3 Кодекса Российской Федерации об административных правонарушениях. Доказательств, подтверждающих факт принятия заявителем всех необходимых исчерпывающих мер, направленных на соблюдение требований действующего законодательства в части исполнения требования Банка России, не представлено. Судами установлено, что процедура и срок давности привлечения к административной ответственности соблюдены, административное наказание в виде штрафа назначено ниже низшего размера санкции нормы. Ссылка на неправильную квалификацию правонарушения, поскольку заявитель является специальным субъектом и подлежит привлечению к ответственности по специальной норме, не свидетельствует о наличии оснований для отмены судебных актов, в том числе, в связи с невозможностью ухудшения положения общества и привлечения его по санкции, предусматривающей более строгое административное наказание.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