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05.03.2020, оставленным без изменения постановлением Первого арбитражного апелляционного суда от 15.06.2020, оспариваемое постановление изменено в 2 части назначенного административного наказания, размер штрафа снижен до 200 000 рублей, в остальной части в удовлетворении требования отказано. Постановлением Арбитражного суда Волго-Вятского округа от 15.09.2020 указанные судебные акты оставлены без изменения. Общество обратилось в Верховный Суд Российской Федерации с кассационной жалобой на принятые по делу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непредставления обществом сведений об организации производственного контроля за соблюдением требований промышленной безопасности в федеральные органы исполнительной власти в области промышленной безопасности или их территориальные органы.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установлена частью 1 статьи 9.1 Кодекса Российской Федерации об административных правонарушениях. 3 Оценив представленные доказательства, руководствуясь положениями Федерального закона от 21.07.1997 № 116-ФЗ «О промышленной безопасности опасных производственных объектов», суды пришли к выводу о доказанности административным органом в действиях общества состава административного правонарушения, ответственность за которое предусмотрена частью 1 статьи 9.1 Кодекса Российской Федерации об административных правонарушениях. Суды признали наличие вины общества в совершении вмененного правонарушения, указав на то, что им не были приняты все зависящие меры по соблюдению норм промышленной безопасности, за нарушение которых предусмотрена административная ответственность, при этом не представлено доказательств объективной невозможности выполнения нарушенных правил и норм. Процедура и срок давности привлечения к ответственности соблюдены, штраф снижен судом до минимального размера санкции нормы. Оснований для признания правонарушения малозначительным и применения статьи 2.9 Кодекса Российской Федерации об административных правонарушениях не установлено. Приведенные в жалобе доводы были предметом рассмотрения судов и получили надлежащую правовую оценку применительно к установленным обстоятельствам, связанным с надлежащим уведомлением лица, привлекаемого к ответственности, о времени и месте составления протокола и рассмотрения дела об административном правонарушении. При этом, чем конкретно нарушены права общества, какие доказательства и возражения оно было лишено возможности представить при сформулированном в протоколе событии правонарушения, в жалобе не указано. Доводов о том, что общество заблуждалось относительно вмененного правонарушения, не приведено. При указанных обстоятельствах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