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11.01.2021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на ее подачу. Принимая во внимание положения части 3 статьи 291.5 Арбитражного процессуального кодекса Российской Федерации, согласно которым возвращение кассационной жалобы не препятствует повторному обращению с кассационной жалобой после устранения обстоятельств, послуживших основанием для ее возвращения, учитывая своевременное направление 2 первоначальной жалобы (04.12.2020), а также оперативное устранение заявителем причин, послуживших основанием для возврата первоначально поданной жалобы, в целях обеспечения процессуальных гарантий, вытекающих из права на судебную защиту, включающего и право на обжалование судебных постановлений, ходатайство о восстановлении срока подлежит удовлетворению, пропущенный срок подлежит восстановлению.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Департамента государственного заказа Ханты-Мансийского автономного округа - Югры о восстановлении пропущенного срока удовлетворить, пропущенный срок на подачу кассационной жалобы восстановить.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