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«Умный Дом» обратилось в Арбитражный суд Саратовской области с иском к обществу с ограниченной ответственностью «ЭОН» (далее – Общество) о взыскании 104 000 рублей неосновательного обогащения и процентов за пользование чужими денежными средствам по день фактической уплаты долга. Решением Арбитражного суда Волгоградской области от 06.07.2020, оставленным без изменения постановлением Двенадцатого арбитражного апелляционного суда от 10.09.2020 и постановлением Арбитражного суда Поволжского округа от 07.12.2020, требования удовлетворены. Общество обратилась в Верховный Суд Российской Федерации с кассационной жалобой на принятые судебные акты, одновременно заявив ходатайство о предоставлении отсрочки уплаты государственной пошлины за ее подачу. 2 Пунктом 2 части 5 статьи 291.3 Арбитражного процессуального кодекса Российской Федерации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Изучив доводы заявителя, изложенные в ходатайстве и представленные документы, суд приходит к выводу о наличии возможности предоставить Обществу отсрочку по уплате госпошлины. Руководствуясь статьями 184, 185, Арбитражного процессуального кодекса Российской Федерации, статьями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«ЭОН» об отсрочке уплаты государственной пошлины удовлетворить. Предоставить отсрочку уплаты государственной пошлины на срок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