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Гулевский Дмитрий Владимирович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«Лента» 5 967 540 рублей в возмещение убытков за поврежденный в результате пожара товар, 259 200 рублей в возмещение убытков за поврежденную в результате пожара мебель и 3 035 940 рублей 10 копеек в возмещение убытков в виде упущенной выгоды. К участию в деле в качестве соответчика привлечены акционерное общество «Страховое общество газовой промышленности» и общество с ограниченной ответственностью Страховая компания «ВТБ Страхование». Решением Арбитражного суда города Санкт-Петербурга и Ленинградской области от 17.12.2019 в удовлетворении иска отказано. 2 Постановлением Тринадцатого арбитражного апелляционного суда от 03.07.2020 решение суда первой инстанции оставлено без изменения. Арбитражный суд Северо-Западного округа постановлением от 23.09.2020 указанные судебные акты оставил без изменения. Индивидуальный предприниматель Гулевский Дмитрий Владимирович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статьями 15, 1064, 1082 Гражданского кодекса Российской Федерации, постановлением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пришли к выводу о недоказанности факта причинения убытков в связи с произошедшим пожаром.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привели или могли привести к принятию неправильных судебных 3 актов и которые могли бы явиться основанием для изменения или отмены принятых по делу судебных актов, не установлено.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Гулевскому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