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«Европак Групп» обратилось в Арбитражный суд Воронежской области с иском, уточненным в порядке статьи 49 Арбитражного процессуального кодекса Российской Федерации, о взыскании с акционерного общества «Липецкий хладокомбинат» 781 023 рублей 84 копеек неустойки по договору поставки от 11.02.2019 № СБ-А0119/19. Решением Арбитражного суда Воронежской области от 27.12.2019 иск удовлетворен в части взыскания 774 057 рублей 30 копеек, в удовлетворении иска в остальной части отказано. Постановлением Девятнадцатого арбитражного апелляционного суда от 05.06.2020 решение суда первой инстанции оставлено без изменения. Арбитражный суд Центрального округа постановлением от 23.09.2020 указанные судебные акты оставил без изменения. Акционерное общество «Липецкий хладокомбинат»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истолковав условия договора и дополнительного соглашения к нему в соответствии с положениями статьи 431 Гражданского кодекса Российской Федерации, установив нарушение ответчиком обязательства своевременной оплаты поставленного товара, руководствуясь положениями статей 309, 310, 329, 330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договорной неустойки.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«Липецкий хладокомбинат»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