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«КМ Инженерные Системы» обратилось в Арбитражный суд города Санкт-Петербурга и Ленинградской области с иском о взыскании с акционерного общества «Группа Ренессанс Страхование» 3 243 499 рублей страхового возмещения в связи с хищением груза.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«Деловые линии», федеральное государственное автономное образовательное учреждение высшего профессионального образования «Национальный исследовательский ядерный университет «МИФИ». Решением Арбитражного суда города Санкт-Петербурга и Ленинградской области от 19.12.2019 в удовлетворении иска отказано. 2 Постановлением Тринадцатого арбитражного апелляционного суда от 22.05.2020 решение суда первой инстанции оставлено без изменения. Арбитражный суд Северо-Западного округа постановлением от 24.09.2020 указанные судебные акты оставил без изменения. Общество с ограниченной ответственностью «КМ Инженерные Системы»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выдачи груза представителю грузополучателя по доверенности и получение груза без замечаний, отсутствие доказательств утраты груза, руководствуясь положениями статей 10, 929 Гражданского кодекса Российской Федерации, Закона Российской Федерации от 27.11.1992 № 4015-1 «Об организации страхового дела в Российской Федерации», суды пришли к выводу о необоснованности иска. Доводы жалобы о доказанности хищения груза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«КМ Инженерные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