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06.02.2020, оставленным без изменения постановлением Девятого арбитражного апелляционного суда от 08.06.2020, в удовлетворении заявления отказано. 2 Постановлением Арбитражного суда Московского округа от 21.09.2020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Налогового кодекса Российской Федерации, Федерального закона от 07.07.2003 № 126-ФЗ «О связи», суды пришли к выводу о том, что оспариваемые требование о представлении документов (информации) и решение о привлечении лица к ответственности за налоговое правонарушение являются законными и обоснованными, признав наличие у общества обязанности по представлению запрашиваемой информации. Доводы жалобы были предметом исследования судов и получили исчерпывающую правовую оценку исходя из характера истребуемых сведений и целей их предоставления,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