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27.01.2020, оставленным без изменения постановлением Девятого арбитражного апелляционного суда от 08.06.2020, в удовлетворении заявления отказано. 2 Постановлением Арбитражного суда Московского округа от 07.10.2020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Налогового кодекса Российской Федерации, Федерального закона от 07.07.2003 № 126-ФЗ «О связи», суды пришли к выводу о том, что оспариваемые требование о представлении документов (информации) и решение о привлечении лица к ответственности за налоговое правонарушение являются законными и обоснованными, признав наличие у общества обязанности по представлению запрашиваемой информации. Доводы жалобы были предметом исследования судов и получили исчерпывающую правовую оценку исходя из характера истребуемых сведений и целей их предоставления,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