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января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Тверской области от 10.01.2020 оспариваемое постановление признано незаконным и отменено в связи с признанием правонарушения малозначительным. 2 Постановлением Четырнадцатого апелляционного арбитражного суда от 04.06.2020 решение суда первой инстанции отменено, в удовлетворении заявленного требования отказано. Постановлением Арбитражного суда Северо-Западного округа от 18.09.2020 постановление суда апелляционной инстанции оставлено без изменения. Общество обратилось в Верховный Суд Российской Федерации с кассационной жалобой, в которой просит постановления судов апелляционной и кассационной инстанций отменить, решение суда первой инстанции оставить в силе. При изучении доводов жалобы и принятых по делу судебных актов оснований для удовлетворения жалобы не установлено. Как следует из судебных актов, основанием для привлечения к ответственности послужил выявленный административным органом факт пользования обществом недрами с нарушением условий лицензии. Частью 2 статьи 7.3 Кодекса Российской Федерации об административных правонарушениях предусмотрена административная ответственность за пользование недрами с нарушением условий, предусмотренных лицензией на пользование недрами, и (или) требований утвержденного в установленном порядке технического проекта. Оценив представленные доказательства, руководствуясь положениями Закона Российской Федерации от 21.02.1992 № 2395-1 «О недрах», суды пришли к выводу о доказанности административным органом в действиях общества состава административного правонарушения, ответственность за совершение которого предусмотрена частью 2 статьи 7.3 Кодекса Российской Федерации об административных правонарушениях. Отменяя решение суда первой инстанции и признавая постановление о привлечении к ответственности законным, суд апелляционной инстанции исходил из отсутствия оснований для признания правонарушения малозначительным и освобождения общества от административной 3 ответственности. Суд округа согласился с выводами суда апелляционной инстанции. Доводы жалобы были предметом исследования судов и получили исчерпывающую правовую оценку применительно к установленным обстоятельствам и принципам назначения административного наказания, не согласиться с которыми оснований не имеется. Существенных нарушений норм материального права, а также требований процессуального законодательства, повлиявших на исход судебного разбирательства, судом не допущено. На основании изложенного и руководствуясь статьями 291.1,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